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2F40" w14:textId="593437C4" w:rsidR="00BA336E" w:rsidRDefault="00BA336E" w:rsidP="006573A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A05598" wp14:editId="7E96E827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040130" cy="360045"/>
            <wp:effectExtent l="0" t="0" r="7620" b="190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2774E" w14:textId="34C61F42" w:rsidR="00BA336E" w:rsidRDefault="00BA336E" w:rsidP="006573A7">
      <w:pPr>
        <w:spacing w:after="0"/>
        <w:jc w:val="center"/>
        <w:rPr>
          <w:b/>
          <w:sz w:val="24"/>
          <w:szCs w:val="24"/>
        </w:rPr>
      </w:pPr>
    </w:p>
    <w:p w14:paraId="1CB63230" w14:textId="4F21A7EE" w:rsidR="003F1C51" w:rsidRPr="00BA336E" w:rsidRDefault="006573A7" w:rsidP="006573A7">
      <w:pPr>
        <w:spacing w:after="0"/>
        <w:jc w:val="center"/>
        <w:rPr>
          <w:rFonts w:ascii="Montserrat ExtraBold" w:hAnsi="Montserrat ExtraBold"/>
          <w:b/>
          <w:sz w:val="24"/>
          <w:szCs w:val="24"/>
        </w:rPr>
      </w:pPr>
      <w:r w:rsidRPr="00BA336E">
        <w:rPr>
          <w:rFonts w:ascii="Montserrat ExtraBold" w:hAnsi="Montserrat ExtraBold"/>
          <w:b/>
          <w:sz w:val="24"/>
          <w:szCs w:val="24"/>
        </w:rPr>
        <w:t>S</w:t>
      </w:r>
      <w:r w:rsidR="003F1C51" w:rsidRPr="00BA336E">
        <w:rPr>
          <w:rFonts w:ascii="Montserrat ExtraBold" w:hAnsi="Montserrat ExtraBold"/>
          <w:b/>
          <w:sz w:val="24"/>
          <w:szCs w:val="24"/>
        </w:rPr>
        <w:t xml:space="preserve">onderbestimmungen </w:t>
      </w:r>
    </w:p>
    <w:p w14:paraId="14B02312" w14:textId="679E8C85" w:rsidR="003F1C51" w:rsidRPr="00BA336E" w:rsidRDefault="003F1C51" w:rsidP="006573A7">
      <w:pPr>
        <w:spacing w:after="0"/>
        <w:jc w:val="center"/>
        <w:rPr>
          <w:rFonts w:ascii="Montserrat ExtraBold" w:hAnsi="Montserrat ExtraBold"/>
          <w:b/>
          <w:sz w:val="24"/>
          <w:szCs w:val="24"/>
        </w:rPr>
      </w:pPr>
      <w:r w:rsidRPr="00BA336E">
        <w:rPr>
          <w:rFonts w:ascii="Montserrat ExtraBold" w:hAnsi="Montserrat ExtraBold"/>
          <w:b/>
          <w:sz w:val="24"/>
          <w:szCs w:val="24"/>
        </w:rPr>
        <w:t xml:space="preserve">für </w:t>
      </w:r>
      <w:r w:rsidR="00912162" w:rsidRPr="00BA336E">
        <w:rPr>
          <w:rFonts w:ascii="Montserrat ExtraBold" w:hAnsi="Montserrat ExtraBold"/>
          <w:b/>
          <w:sz w:val="24"/>
          <w:szCs w:val="24"/>
        </w:rPr>
        <w:t xml:space="preserve">den </w:t>
      </w:r>
      <w:r w:rsidRPr="00BA336E">
        <w:rPr>
          <w:rFonts w:ascii="Montserrat ExtraBold" w:hAnsi="Montserrat ExtraBold"/>
          <w:b/>
          <w:sz w:val="24"/>
          <w:szCs w:val="24"/>
        </w:rPr>
        <w:t>Aufsichtsrat von Banken</w:t>
      </w:r>
    </w:p>
    <w:p w14:paraId="21A64931" w14:textId="5006E4D7" w:rsidR="00DD2156" w:rsidRDefault="00B53E44" w:rsidP="00B53E44">
      <w:pPr>
        <w:jc w:val="center"/>
      </w:pPr>
      <w:r>
        <w:t>Überblick</w:t>
      </w:r>
    </w:p>
    <w:tbl>
      <w:tblPr>
        <w:tblStyle w:val="Tabellenraster"/>
        <w:tblW w:w="9288" w:type="dxa"/>
        <w:tblLayout w:type="fixed"/>
        <w:tblLook w:val="04A0" w:firstRow="1" w:lastRow="0" w:firstColumn="1" w:lastColumn="0" w:noHBand="0" w:noVBand="1"/>
      </w:tblPr>
      <w:tblGrid>
        <w:gridCol w:w="2376"/>
        <w:gridCol w:w="4962"/>
        <w:gridCol w:w="1950"/>
      </w:tblGrid>
      <w:tr w:rsidR="003F1C51" w:rsidRPr="00BA336E" w14:paraId="5AC4E982" w14:textId="77777777" w:rsidTr="00B53E44">
        <w:trPr>
          <w:trHeight w:val="264"/>
          <w:tblHeader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FCDE978" w14:textId="48894D51" w:rsidR="003F1C51" w:rsidRPr="00BA336E" w:rsidRDefault="003F1C51" w:rsidP="006573A7">
            <w:pPr>
              <w:tabs>
                <w:tab w:val="left" w:pos="1820"/>
              </w:tabs>
              <w:rPr>
                <w:rFonts w:ascii="Montserrat ExtraBold" w:hAnsi="Montserrat ExtraBold"/>
              </w:rPr>
            </w:pPr>
            <w:r w:rsidRPr="00BA336E">
              <w:rPr>
                <w:rFonts w:ascii="Montserrat ExtraBold" w:hAnsi="Montserrat ExtraBold"/>
              </w:rPr>
              <w:t xml:space="preserve">Thema 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9829DA6" w14:textId="77777777" w:rsidR="003F1C51" w:rsidRPr="00BA336E" w:rsidRDefault="003F1C51" w:rsidP="003F1C51">
            <w:pPr>
              <w:tabs>
                <w:tab w:val="left" w:pos="1820"/>
              </w:tabs>
              <w:rPr>
                <w:rFonts w:ascii="Montserrat ExtraBold" w:hAnsi="Montserrat ExtraBold"/>
              </w:rPr>
            </w:pPr>
            <w:r w:rsidRPr="00BA336E">
              <w:rPr>
                <w:rFonts w:ascii="Montserrat ExtraBold" w:hAnsi="Montserrat ExtraBold"/>
              </w:rPr>
              <w:t>Inhalt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2E6C94A" w14:textId="77777777" w:rsidR="003F1C51" w:rsidRPr="00BA336E" w:rsidRDefault="003F1C51" w:rsidP="003F1C51">
            <w:pPr>
              <w:tabs>
                <w:tab w:val="left" w:pos="1820"/>
              </w:tabs>
              <w:rPr>
                <w:rFonts w:ascii="Montserrat ExtraBold" w:hAnsi="Montserrat ExtraBold"/>
              </w:rPr>
            </w:pPr>
            <w:r w:rsidRPr="00BA336E">
              <w:rPr>
                <w:rFonts w:ascii="Montserrat ExtraBold" w:hAnsi="Montserrat ExtraBold"/>
              </w:rPr>
              <w:t>Rechtsquelle</w:t>
            </w:r>
            <w:r w:rsidR="002C10E4" w:rsidRPr="00BA336E">
              <w:rPr>
                <w:rFonts w:ascii="Montserrat ExtraBold" w:hAnsi="Montserrat ExtraBold"/>
              </w:rPr>
              <w:t>n</w:t>
            </w:r>
          </w:p>
        </w:tc>
      </w:tr>
      <w:tr w:rsidR="003F1C51" w:rsidRPr="006573A7" w14:paraId="479BFE23" w14:textId="77777777" w:rsidTr="00B53E44">
        <w:tc>
          <w:tcPr>
            <w:tcW w:w="2376" w:type="dxa"/>
            <w:shd w:val="clear" w:color="auto" w:fill="auto"/>
          </w:tcPr>
          <w:p w14:paraId="4F3F00F5" w14:textId="77777777" w:rsidR="003F1C51" w:rsidRPr="006573A7" w:rsidRDefault="003F1C51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Rechtsquellen</w:t>
            </w:r>
          </w:p>
        </w:tc>
        <w:tc>
          <w:tcPr>
            <w:tcW w:w="4962" w:type="dxa"/>
          </w:tcPr>
          <w:p w14:paraId="712AFEF9" w14:textId="46F8E1C2" w:rsidR="00253DF6" w:rsidRDefault="003F1C51" w:rsidP="00BA336E">
            <w:pPr>
              <w:pStyle w:val="Aufzhlung"/>
            </w:pPr>
            <w:r w:rsidRPr="00BA336E">
              <w:t>Bankwesengesetz</w:t>
            </w:r>
            <w:r w:rsidRPr="003F1C51">
              <w:t xml:space="preserve"> </w:t>
            </w:r>
          </w:p>
          <w:p w14:paraId="0B58C864" w14:textId="6F19AC6E" w:rsidR="00253DF6" w:rsidRDefault="003F1C51" w:rsidP="00BA336E">
            <w:pPr>
              <w:pStyle w:val="Aufzhlung"/>
            </w:pPr>
            <w:r w:rsidRPr="003F1C51">
              <w:t>Fit &amp; Proper Rundschreiben der</w:t>
            </w:r>
            <w:r w:rsidR="00253DF6">
              <w:t xml:space="preserve"> </w:t>
            </w:r>
            <w:r w:rsidRPr="003F1C51">
              <w:t>F</w:t>
            </w:r>
            <w:r w:rsidR="00F55AA7">
              <w:t>inanzmarktaufsicht (FMA</w:t>
            </w:r>
            <w:r w:rsidR="000A3766">
              <w:t>-RS</w:t>
            </w:r>
            <w:r w:rsidR="00F55AA7">
              <w:t>)</w:t>
            </w:r>
          </w:p>
          <w:p w14:paraId="5E2B539A" w14:textId="51350687" w:rsidR="00253DF6" w:rsidRDefault="003F1C51" w:rsidP="00BA336E">
            <w:pPr>
              <w:pStyle w:val="Aufzhlung"/>
            </w:pPr>
            <w:r w:rsidRPr="003F1C51">
              <w:t>Leitlinien der Europ</w:t>
            </w:r>
            <w:r w:rsidR="006573A7">
              <w:t>.</w:t>
            </w:r>
            <w:r w:rsidRPr="003F1C51">
              <w:t xml:space="preserve"> Bank Authority</w:t>
            </w:r>
            <w:r w:rsidR="00F074CF">
              <w:t xml:space="preserve"> </w:t>
            </w:r>
            <w:r w:rsidR="009342F2">
              <w:t>(EBA/ESMA)</w:t>
            </w:r>
          </w:p>
          <w:p w14:paraId="270A252D" w14:textId="504A2C15" w:rsidR="00253DF6" w:rsidRDefault="00F074CF" w:rsidP="00BA336E">
            <w:pPr>
              <w:pStyle w:val="Aufzhlung"/>
            </w:pPr>
            <w:r>
              <w:t xml:space="preserve">Sparkassengesetz </w:t>
            </w:r>
          </w:p>
          <w:p w14:paraId="13DA43DC" w14:textId="138E2C67" w:rsidR="00253DF6" w:rsidRDefault="00F074CF" w:rsidP="00BA336E">
            <w:pPr>
              <w:pStyle w:val="Aufzhlung"/>
            </w:pPr>
            <w:r>
              <w:t>Europ</w:t>
            </w:r>
            <w:r w:rsidR="00BA336E">
              <w:t>.</w:t>
            </w:r>
            <w:r>
              <w:t xml:space="preserve"> Verordnung über Anforderungen an Kreditinstitute und Wertpapierfirmen (CRR) </w:t>
            </w:r>
          </w:p>
          <w:p w14:paraId="1163F7BF" w14:textId="0A69AFE9" w:rsidR="00253DF6" w:rsidRDefault="00F074CF" w:rsidP="00BA336E">
            <w:pPr>
              <w:pStyle w:val="Aufzhlung"/>
            </w:pPr>
            <w:r>
              <w:t>Wertpapieraufsichtsgesetz</w:t>
            </w:r>
          </w:p>
          <w:p w14:paraId="15E27F2A" w14:textId="43240672" w:rsidR="003F1C51" w:rsidRPr="003F1C51" w:rsidRDefault="00253DF6" w:rsidP="00BA336E">
            <w:pPr>
              <w:pStyle w:val="Aufzhlung"/>
            </w:pPr>
            <w:r>
              <w:t>F</w:t>
            </w:r>
            <w:r w:rsidR="00F074CF">
              <w:t>inanzmarktaufsichtsbehördengesetz</w:t>
            </w:r>
          </w:p>
        </w:tc>
        <w:tc>
          <w:tcPr>
            <w:tcW w:w="1950" w:type="dxa"/>
          </w:tcPr>
          <w:p w14:paraId="0E51B8E2" w14:textId="615FC545" w:rsidR="00B53E44" w:rsidRDefault="003F1C51" w:rsidP="00253DF6">
            <w:pPr>
              <w:rPr>
                <w:rFonts w:cstheme="minorHAnsi"/>
                <w:szCs w:val="18"/>
                <w:lang w:val="de-DE"/>
              </w:rPr>
            </w:pPr>
            <w:r w:rsidRPr="00BA336E">
              <w:rPr>
                <w:rFonts w:cstheme="minorHAnsi"/>
                <w:szCs w:val="18"/>
                <w:lang w:val="de-DE"/>
              </w:rPr>
              <w:t>BWG</w:t>
            </w:r>
          </w:p>
          <w:p w14:paraId="0E555309" w14:textId="321FD636" w:rsidR="00B53E44" w:rsidRDefault="00B53E44" w:rsidP="00253DF6">
            <w:pPr>
              <w:rPr>
                <w:rFonts w:cstheme="minorHAnsi"/>
                <w:szCs w:val="18"/>
                <w:lang w:val="de-DE"/>
              </w:rPr>
            </w:pPr>
            <w:r w:rsidRPr="00BA336E">
              <w:rPr>
                <w:rFonts w:cstheme="minorHAnsi"/>
                <w:szCs w:val="18"/>
                <w:lang w:val="de-DE"/>
              </w:rPr>
              <w:t>EBA-Guidelines</w:t>
            </w:r>
          </w:p>
          <w:p w14:paraId="76CCA5BD" w14:textId="77777777" w:rsidR="00B53E44" w:rsidRDefault="003F1C51" w:rsidP="00253DF6">
            <w:pPr>
              <w:rPr>
                <w:rFonts w:cstheme="minorHAnsi"/>
                <w:szCs w:val="18"/>
                <w:lang w:val="de-DE"/>
              </w:rPr>
            </w:pPr>
            <w:r w:rsidRPr="00BA336E">
              <w:rPr>
                <w:rFonts w:cstheme="minorHAnsi"/>
                <w:szCs w:val="18"/>
                <w:lang w:val="de-DE"/>
              </w:rPr>
              <w:t>F</w:t>
            </w:r>
            <w:r w:rsidR="000A3766" w:rsidRPr="00BA336E">
              <w:rPr>
                <w:rFonts w:cstheme="minorHAnsi"/>
                <w:szCs w:val="18"/>
                <w:lang w:val="de-DE"/>
              </w:rPr>
              <w:t>MA-RS</w:t>
            </w:r>
          </w:p>
          <w:p w14:paraId="69A80835" w14:textId="77777777" w:rsidR="00B53E44" w:rsidRDefault="00F074CF" w:rsidP="00253DF6">
            <w:pPr>
              <w:rPr>
                <w:rFonts w:cstheme="minorHAnsi"/>
                <w:szCs w:val="18"/>
                <w:lang w:val="de-DE"/>
              </w:rPr>
            </w:pPr>
            <w:r w:rsidRPr="00BA336E">
              <w:rPr>
                <w:rFonts w:cstheme="minorHAnsi"/>
                <w:szCs w:val="18"/>
                <w:lang w:val="de-DE"/>
              </w:rPr>
              <w:t>CRR</w:t>
            </w:r>
          </w:p>
          <w:p w14:paraId="1FB62A7E" w14:textId="77777777" w:rsidR="00B53E44" w:rsidRDefault="00F074CF" w:rsidP="00253DF6">
            <w:pPr>
              <w:rPr>
                <w:rFonts w:cstheme="minorHAnsi"/>
                <w:szCs w:val="18"/>
                <w:lang w:val="de-DE"/>
              </w:rPr>
            </w:pPr>
            <w:r w:rsidRPr="00BA336E">
              <w:rPr>
                <w:rFonts w:cstheme="minorHAnsi"/>
                <w:szCs w:val="18"/>
                <w:lang w:val="de-DE"/>
              </w:rPr>
              <w:t>WAG</w:t>
            </w:r>
          </w:p>
          <w:p w14:paraId="6DC8B386" w14:textId="2A88E902" w:rsidR="003F1C51" w:rsidRPr="000A3766" w:rsidRDefault="00F074CF" w:rsidP="00253DF6">
            <w:pPr>
              <w:rPr>
                <w:lang w:val="en-GB"/>
              </w:rPr>
            </w:pPr>
            <w:r w:rsidRPr="00BA336E">
              <w:rPr>
                <w:rFonts w:cstheme="minorHAnsi"/>
                <w:szCs w:val="18"/>
                <w:lang w:val="de-DE"/>
              </w:rPr>
              <w:t>FMABG…</w:t>
            </w:r>
          </w:p>
        </w:tc>
      </w:tr>
      <w:tr w:rsidR="003F1C51" w:rsidRPr="00650584" w14:paraId="58F9D4E2" w14:textId="77777777" w:rsidTr="00B53E44">
        <w:tc>
          <w:tcPr>
            <w:tcW w:w="2376" w:type="dxa"/>
            <w:shd w:val="clear" w:color="auto" w:fill="auto"/>
          </w:tcPr>
          <w:p w14:paraId="46715244" w14:textId="11B9C030" w:rsidR="003F1C51" w:rsidRPr="006573A7" w:rsidRDefault="003F1C51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Fit und Proper Anforderungen an Arbeitnehmer- vertreter</w:t>
            </w:r>
            <w:r w:rsidR="00BA336E">
              <w:rPr>
                <w:rFonts w:ascii="Montserrat SemiBold" w:hAnsi="Montserrat SemiBold"/>
              </w:rPr>
              <w:t>:i</w:t>
            </w:r>
            <w:r w:rsidR="00893D31" w:rsidRPr="006573A7">
              <w:rPr>
                <w:rFonts w:ascii="Montserrat SemiBold" w:hAnsi="Montserrat SemiBold"/>
              </w:rPr>
              <w:t>nnen</w:t>
            </w:r>
            <w:r w:rsidR="00F55AA7" w:rsidRPr="006573A7">
              <w:rPr>
                <w:rFonts w:ascii="Montserrat SemiBold" w:hAnsi="Montserrat SemiBold"/>
              </w:rPr>
              <w:t>(ANV)</w:t>
            </w:r>
            <w:r w:rsidRPr="006573A7">
              <w:rPr>
                <w:rFonts w:ascii="Montserrat SemiBold" w:hAnsi="Montserrat SemiBold"/>
              </w:rPr>
              <w:t xml:space="preserve"> im Aufsichtsrat</w:t>
            </w:r>
          </w:p>
          <w:p w14:paraId="046DD479" w14:textId="77777777" w:rsidR="003F1C51" w:rsidRPr="006573A7" w:rsidRDefault="003F1C51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</w:p>
        </w:tc>
        <w:tc>
          <w:tcPr>
            <w:tcW w:w="4962" w:type="dxa"/>
          </w:tcPr>
          <w:p w14:paraId="047CCA4D" w14:textId="11CB2148" w:rsidR="003F1C51" w:rsidRPr="00F074CF" w:rsidRDefault="00F074CF" w:rsidP="00253DF6">
            <w:pPr>
              <w:pStyle w:val="Aufzhlung"/>
            </w:pPr>
            <w:r w:rsidRPr="00F074CF">
              <w:t>Fachlich geeignet, Erfahrungen, ausreichend Zeit etc</w:t>
            </w:r>
            <w:r w:rsidR="00253DF6">
              <w:t>.</w:t>
            </w:r>
          </w:p>
          <w:p w14:paraId="4269A31F" w14:textId="77777777" w:rsidR="00A948FC" w:rsidRDefault="00F074CF" w:rsidP="00253DF6">
            <w:pPr>
              <w:pStyle w:val="Aufzhlung"/>
            </w:pPr>
            <w:r w:rsidRPr="00F074CF">
              <w:t>Betriebsrat hat Eignung zu bestätigen</w:t>
            </w:r>
            <w:r w:rsidR="00A948FC">
              <w:t>;</w:t>
            </w:r>
          </w:p>
          <w:p w14:paraId="69A3AA1C" w14:textId="77777777" w:rsidR="00F074CF" w:rsidRDefault="003C0B67" w:rsidP="00253DF6">
            <w:pPr>
              <w:pStyle w:val="Aufzhlung"/>
            </w:pPr>
            <w:r>
              <w:t>Fit &amp; Proper Test durch die FMA in Form eines Hearing möglich</w:t>
            </w:r>
          </w:p>
          <w:p w14:paraId="18338AC9" w14:textId="200F9454" w:rsidR="00F55AA7" w:rsidRPr="00F55AA7" w:rsidRDefault="00F55AA7" w:rsidP="00253DF6">
            <w:pPr>
              <w:pStyle w:val="Aufzhlung"/>
            </w:pPr>
            <w:r w:rsidRPr="00F55AA7">
              <w:t>Beitrag der ANV zur kollektiven Eignung kann berücksichtigt werden</w:t>
            </w:r>
          </w:p>
        </w:tc>
        <w:tc>
          <w:tcPr>
            <w:tcW w:w="1950" w:type="dxa"/>
          </w:tcPr>
          <w:p w14:paraId="0B9EBA8C" w14:textId="09D443A9" w:rsidR="00B53E44" w:rsidRDefault="003F1C51" w:rsidP="000A3766">
            <w:pPr>
              <w:tabs>
                <w:tab w:val="left" w:pos="1820"/>
              </w:tabs>
              <w:rPr>
                <w:lang w:val="en-GB"/>
              </w:rPr>
            </w:pPr>
            <w:r w:rsidRPr="000A3766">
              <w:rPr>
                <w:lang w:val="en-GB"/>
              </w:rPr>
              <w:t>§</w:t>
            </w:r>
            <w:r w:rsidR="004665D4" w:rsidRPr="000A3766">
              <w:rPr>
                <w:lang w:val="en-GB"/>
              </w:rPr>
              <w:t>§</w:t>
            </w:r>
            <w:r w:rsidRPr="000A3766">
              <w:rPr>
                <w:lang w:val="en-GB"/>
              </w:rPr>
              <w:t xml:space="preserve"> 28a</w:t>
            </w:r>
            <w:r w:rsidR="004665D4" w:rsidRPr="000A3766">
              <w:rPr>
                <w:lang w:val="en-GB"/>
              </w:rPr>
              <w:t>, 73 Abs 1 Z 8</w:t>
            </w:r>
            <w:r w:rsidRPr="000A3766">
              <w:rPr>
                <w:lang w:val="en-GB"/>
              </w:rPr>
              <w:t xml:space="preserve"> BWG</w:t>
            </w:r>
          </w:p>
          <w:p w14:paraId="0C5FF9AB" w14:textId="54F9BB99" w:rsidR="003F1C51" w:rsidRPr="000A3766" w:rsidRDefault="003F1C51" w:rsidP="000A3766">
            <w:pPr>
              <w:tabs>
                <w:tab w:val="left" w:pos="1820"/>
              </w:tabs>
              <w:rPr>
                <w:lang w:val="en-GB"/>
              </w:rPr>
            </w:pPr>
            <w:r w:rsidRPr="000A3766">
              <w:rPr>
                <w:lang w:val="en-GB"/>
              </w:rPr>
              <w:t>F</w:t>
            </w:r>
            <w:r w:rsidR="000A3766" w:rsidRPr="000A3766">
              <w:rPr>
                <w:lang w:val="en-GB"/>
              </w:rPr>
              <w:t>MA-RS</w:t>
            </w:r>
          </w:p>
        </w:tc>
      </w:tr>
      <w:tr w:rsidR="003F1C51" w14:paraId="4BFC0884" w14:textId="77777777" w:rsidTr="00B53E44">
        <w:tc>
          <w:tcPr>
            <w:tcW w:w="2376" w:type="dxa"/>
            <w:shd w:val="clear" w:color="auto" w:fill="auto"/>
          </w:tcPr>
          <w:p w14:paraId="674ED812" w14:textId="3A439AE0" w:rsidR="002C10E4" w:rsidRPr="006573A7" w:rsidRDefault="005771AD" w:rsidP="00253DF6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 xml:space="preserve">Bewilligung </w:t>
            </w:r>
            <w:r w:rsidR="00B2383A" w:rsidRPr="006573A7">
              <w:rPr>
                <w:rFonts w:ascii="Montserrat SemiBold" w:hAnsi="Montserrat SemiBold"/>
              </w:rPr>
              <w:t>bestimmter Unternehmensent</w:t>
            </w:r>
            <w:r w:rsidR="00281404" w:rsidRPr="006573A7">
              <w:rPr>
                <w:rFonts w:ascii="Montserrat SemiBold" w:hAnsi="Montserrat SemiBold"/>
              </w:rPr>
              <w:t xml:space="preserve">-    </w:t>
            </w:r>
            <w:r w:rsidR="00B2383A" w:rsidRPr="006573A7">
              <w:rPr>
                <w:rFonts w:ascii="Montserrat SemiBold" w:hAnsi="Montserrat SemiBold"/>
              </w:rPr>
              <w:t xml:space="preserve">scheidungen </w:t>
            </w:r>
            <w:r w:rsidRPr="006573A7">
              <w:rPr>
                <w:rFonts w:ascii="Montserrat SemiBold" w:hAnsi="Montserrat SemiBold"/>
              </w:rPr>
              <w:t xml:space="preserve">durch </w:t>
            </w:r>
            <w:r w:rsidR="00B2383A" w:rsidRPr="006573A7">
              <w:rPr>
                <w:rFonts w:ascii="Montserrat SemiBold" w:hAnsi="Montserrat SemiBold"/>
              </w:rPr>
              <w:t xml:space="preserve">die </w:t>
            </w:r>
            <w:r w:rsidR="00F55AA7" w:rsidRPr="006573A7">
              <w:rPr>
                <w:rFonts w:ascii="Montserrat SemiBold" w:hAnsi="Montserrat SemiBold"/>
              </w:rPr>
              <w:t>FMA</w:t>
            </w:r>
          </w:p>
        </w:tc>
        <w:tc>
          <w:tcPr>
            <w:tcW w:w="4962" w:type="dxa"/>
          </w:tcPr>
          <w:p w14:paraId="56C40FD7" w14:textId="4E996648" w:rsidR="003F1C51" w:rsidRDefault="005771AD" w:rsidP="00253DF6">
            <w:pPr>
              <w:pStyle w:val="Aufzhlung"/>
            </w:pPr>
            <w:r w:rsidRPr="005771AD">
              <w:t>Verschmelzung, Spaltung, Änderung der Rechtsform, Errichtung einer Zweigstelle in einem Drittland etc</w:t>
            </w:r>
            <w:r w:rsidR="00253DF6">
              <w:t>.</w:t>
            </w:r>
          </w:p>
          <w:p w14:paraId="3AA09B20" w14:textId="77777777" w:rsidR="005771AD" w:rsidRPr="005771AD" w:rsidRDefault="005771AD" w:rsidP="003F1C51">
            <w:pPr>
              <w:tabs>
                <w:tab w:val="left" w:pos="1820"/>
              </w:tabs>
            </w:pPr>
          </w:p>
        </w:tc>
        <w:tc>
          <w:tcPr>
            <w:tcW w:w="1950" w:type="dxa"/>
          </w:tcPr>
          <w:p w14:paraId="3E6BE34E" w14:textId="77777777" w:rsidR="003F1C51" w:rsidRPr="005771AD" w:rsidRDefault="005771AD" w:rsidP="003F1C51">
            <w:pPr>
              <w:tabs>
                <w:tab w:val="left" w:pos="1820"/>
              </w:tabs>
            </w:pPr>
            <w:r w:rsidRPr="005771AD">
              <w:t>§ 21 BWG</w:t>
            </w:r>
          </w:p>
        </w:tc>
      </w:tr>
      <w:tr w:rsidR="003F1C51" w14:paraId="6EB644C6" w14:textId="77777777" w:rsidTr="00B53E44">
        <w:tc>
          <w:tcPr>
            <w:tcW w:w="2376" w:type="dxa"/>
            <w:shd w:val="clear" w:color="auto" w:fill="auto"/>
          </w:tcPr>
          <w:p w14:paraId="1EDFA059" w14:textId="77777777" w:rsidR="00AA7C38" w:rsidRPr="006573A7" w:rsidRDefault="00AA7C38" w:rsidP="00AA7C38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 xml:space="preserve">Organgeschäfte </w:t>
            </w:r>
          </w:p>
        </w:tc>
        <w:tc>
          <w:tcPr>
            <w:tcW w:w="4962" w:type="dxa"/>
          </w:tcPr>
          <w:p w14:paraId="04173B7F" w14:textId="77777777" w:rsidR="00A948FC" w:rsidRDefault="00AA7C38" w:rsidP="00253DF6">
            <w:pPr>
              <w:pStyle w:val="Aufzhlung"/>
            </w:pPr>
            <w:r w:rsidRPr="00AA7C38">
              <w:t xml:space="preserve">Geschäfte der Bank mit Geschäftsleitern, Aufsichtsräten, leitenden Angestellten und deren Angehörigen, wie Kredite; </w:t>
            </w:r>
          </w:p>
          <w:p w14:paraId="0B3CD19A" w14:textId="4F4B110B" w:rsidR="00AA7C38" w:rsidRPr="00AA7C38" w:rsidRDefault="00AA7C38" w:rsidP="00253DF6">
            <w:pPr>
              <w:pStyle w:val="Aufzhlung"/>
            </w:pPr>
            <w:r w:rsidRPr="00AA7C38">
              <w:t>einstimmiger Beschluss aller Geschäftsleiter und des Auf</w:t>
            </w:r>
            <w:r w:rsidR="00253DF6">
              <w:t>sichtsrats</w:t>
            </w:r>
            <w:r w:rsidRPr="00AA7C38">
              <w:t xml:space="preserve"> (Betroffener darf nicht mitstimmen) erforderlich</w:t>
            </w:r>
          </w:p>
        </w:tc>
        <w:tc>
          <w:tcPr>
            <w:tcW w:w="1950" w:type="dxa"/>
          </w:tcPr>
          <w:p w14:paraId="3741B47F" w14:textId="77777777" w:rsidR="003F1C51" w:rsidRPr="00AA7C38" w:rsidRDefault="00AA7C38" w:rsidP="003F1C51">
            <w:pPr>
              <w:tabs>
                <w:tab w:val="left" w:pos="1820"/>
              </w:tabs>
            </w:pPr>
            <w:r w:rsidRPr="00AA7C38">
              <w:t>§ 28 BWG</w:t>
            </w:r>
          </w:p>
        </w:tc>
      </w:tr>
      <w:tr w:rsidR="003F1C51" w:rsidRPr="00650584" w14:paraId="4D39002B" w14:textId="77777777" w:rsidTr="00B53E44">
        <w:tc>
          <w:tcPr>
            <w:tcW w:w="2376" w:type="dxa"/>
            <w:shd w:val="clear" w:color="auto" w:fill="auto"/>
          </w:tcPr>
          <w:p w14:paraId="61795B8F" w14:textId="77777777" w:rsidR="003F1C51" w:rsidRPr="006573A7" w:rsidRDefault="00AA7C38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Cooling-Off für Aufsichtsratsvorsitz</w:t>
            </w:r>
            <w:r w:rsidR="00706027" w:rsidRPr="006573A7">
              <w:rPr>
                <w:rFonts w:ascii="Montserrat SemiBold" w:hAnsi="Montserrat SemiBold"/>
              </w:rPr>
              <w:t xml:space="preserve"> und Vorsitz in Ausschüssen</w:t>
            </w:r>
          </w:p>
        </w:tc>
        <w:tc>
          <w:tcPr>
            <w:tcW w:w="4962" w:type="dxa"/>
          </w:tcPr>
          <w:p w14:paraId="16B6A5FC" w14:textId="7D8F0BF9" w:rsidR="00955B38" w:rsidRDefault="00AA7C38" w:rsidP="003F1C51">
            <w:pPr>
              <w:pStyle w:val="Aufzhlung"/>
              <w:tabs>
                <w:tab w:val="left" w:pos="1820"/>
              </w:tabs>
            </w:pPr>
            <w:r w:rsidRPr="00AA7C38">
              <w:t>Geschäftsleiter</w:t>
            </w:r>
            <w:r w:rsidR="00253DF6">
              <w:t>:i</w:t>
            </w:r>
            <w:r w:rsidR="00893D31">
              <w:t>n</w:t>
            </w:r>
            <w:r w:rsidRPr="00AA7C38">
              <w:t xml:space="preserve"> vor Bestellung als Vorsitzende</w:t>
            </w:r>
            <w:r w:rsidR="00893D31">
              <w:t>/</w:t>
            </w:r>
            <w:r w:rsidRPr="00AA7C38">
              <w:t>r des Aufsichtsrats</w:t>
            </w:r>
            <w:r>
              <w:t xml:space="preserve"> – 2 Jahre Cooling-Off Periode</w:t>
            </w:r>
          </w:p>
          <w:p w14:paraId="419EC75A" w14:textId="59FB154B" w:rsidR="00AA7C38" w:rsidRPr="00AA7C38" w:rsidRDefault="00955B38" w:rsidP="00253DF6">
            <w:pPr>
              <w:pStyle w:val="Aufzhlung"/>
            </w:pPr>
            <w:r>
              <w:t xml:space="preserve">Vorsitzfunktion in </w:t>
            </w:r>
            <w:r w:rsidR="00706027">
              <w:t>Vergütungs-</w:t>
            </w:r>
            <w:r w:rsidR="00253DF6">
              <w:t xml:space="preserve"> </w:t>
            </w:r>
            <w:r w:rsidR="00706027">
              <w:t>und Prüfungsausschuss</w:t>
            </w:r>
          </w:p>
        </w:tc>
        <w:tc>
          <w:tcPr>
            <w:tcW w:w="1950" w:type="dxa"/>
          </w:tcPr>
          <w:p w14:paraId="0352A9EE" w14:textId="77777777" w:rsidR="003F1C51" w:rsidRPr="00893D31" w:rsidRDefault="00AA7C38" w:rsidP="003F1C51">
            <w:pPr>
              <w:tabs>
                <w:tab w:val="left" w:pos="1820"/>
              </w:tabs>
              <w:rPr>
                <w:lang w:val="en-GB"/>
              </w:rPr>
            </w:pPr>
            <w:r w:rsidRPr="00893D31">
              <w:rPr>
                <w:lang w:val="en-GB"/>
              </w:rPr>
              <w:t>§ 28a BWG</w:t>
            </w:r>
          </w:p>
          <w:p w14:paraId="764B98FC" w14:textId="77777777" w:rsidR="00955B38" w:rsidRPr="00893D31" w:rsidRDefault="00955B38" w:rsidP="003F1C51">
            <w:pPr>
              <w:tabs>
                <w:tab w:val="left" w:pos="1820"/>
              </w:tabs>
              <w:rPr>
                <w:lang w:val="en-GB"/>
              </w:rPr>
            </w:pPr>
            <w:r w:rsidRPr="00893D31">
              <w:rPr>
                <w:lang w:val="en-GB"/>
              </w:rPr>
              <w:t>§ 39c, § 63a Abs 4 BWG</w:t>
            </w:r>
          </w:p>
        </w:tc>
      </w:tr>
      <w:tr w:rsidR="003F1C51" w14:paraId="63440A07" w14:textId="77777777" w:rsidTr="00B53E44">
        <w:tc>
          <w:tcPr>
            <w:tcW w:w="2376" w:type="dxa"/>
            <w:shd w:val="clear" w:color="auto" w:fill="auto"/>
          </w:tcPr>
          <w:p w14:paraId="1EC85EF2" w14:textId="77777777" w:rsidR="003F1C51" w:rsidRPr="006573A7" w:rsidRDefault="003C0B67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Zusätzliche Aufgaben des Aufsichtsrats</w:t>
            </w:r>
          </w:p>
        </w:tc>
        <w:tc>
          <w:tcPr>
            <w:tcW w:w="4962" w:type="dxa"/>
          </w:tcPr>
          <w:p w14:paraId="7B5B7617" w14:textId="16F6B1E2" w:rsidR="003C0B67" w:rsidRDefault="003C0B67" w:rsidP="003F1C51">
            <w:pPr>
              <w:pStyle w:val="Aufzhlung"/>
              <w:tabs>
                <w:tab w:val="left" w:pos="1820"/>
              </w:tabs>
            </w:pPr>
            <w:r w:rsidRPr="003C0B67">
              <w:t>Erörterung der strategischen Ziele, Risikostrategie und der internen Grundsätze einer ordnungsgemäßen Geschäftsführung mit der Geschäftsleitung</w:t>
            </w:r>
            <w:r w:rsidR="00253DF6">
              <w:br/>
            </w:r>
            <w:r w:rsidRPr="003C0B67">
              <w:t xml:space="preserve">+ Überwachung der Umsetzung </w:t>
            </w:r>
          </w:p>
          <w:p w14:paraId="3C446CFF" w14:textId="00BF2EFD" w:rsidR="003C0B67" w:rsidRPr="003C0B67" w:rsidRDefault="003C0B67" w:rsidP="00253DF6">
            <w:pPr>
              <w:pStyle w:val="Aufzhlung"/>
            </w:pPr>
            <w:r>
              <w:t>Zustim</w:t>
            </w:r>
            <w:r w:rsidR="00D83CAF">
              <w:t>m</w:t>
            </w:r>
            <w:r>
              <w:t>ung zu Großkrediten</w:t>
            </w:r>
          </w:p>
        </w:tc>
        <w:tc>
          <w:tcPr>
            <w:tcW w:w="1950" w:type="dxa"/>
          </w:tcPr>
          <w:p w14:paraId="28164ECD" w14:textId="77777777" w:rsidR="00A948FC" w:rsidRDefault="003C0B67" w:rsidP="003C0B67">
            <w:pPr>
              <w:tabs>
                <w:tab w:val="left" w:pos="1820"/>
              </w:tabs>
            </w:pPr>
            <w:r>
              <w:t>§ 28a</w:t>
            </w:r>
            <w:r w:rsidR="00A948FC">
              <w:t xml:space="preserve"> BWG</w:t>
            </w:r>
            <w:r>
              <w:t xml:space="preserve"> </w:t>
            </w:r>
          </w:p>
          <w:p w14:paraId="0F08E4F3" w14:textId="77777777" w:rsidR="003C0B67" w:rsidRPr="003C0B67" w:rsidRDefault="003C0B67" w:rsidP="003C0B67">
            <w:pPr>
              <w:tabs>
                <w:tab w:val="left" w:pos="1820"/>
              </w:tabs>
            </w:pPr>
            <w:r>
              <w:t>§ 28b BWG</w:t>
            </w:r>
          </w:p>
        </w:tc>
      </w:tr>
      <w:tr w:rsidR="003F1C51" w14:paraId="3D6AA623" w14:textId="77777777" w:rsidTr="00B53E44">
        <w:tc>
          <w:tcPr>
            <w:tcW w:w="2376" w:type="dxa"/>
            <w:shd w:val="clear" w:color="auto" w:fill="auto"/>
          </w:tcPr>
          <w:p w14:paraId="4441A0E2" w14:textId="679FFB90" w:rsidR="003F1C51" w:rsidRPr="006573A7" w:rsidRDefault="003C0B67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Nominierungs</w:t>
            </w:r>
            <w:r w:rsidR="00253DF6">
              <w:rPr>
                <w:rFonts w:ascii="Montserrat SemiBold" w:hAnsi="Montserrat SemiBold"/>
              </w:rPr>
              <w:t>-</w:t>
            </w:r>
            <w:r w:rsidRPr="006573A7">
              <w:rPr>
                <w:rFonts w:ascii="Montserrat SemiBold" w:hAnsi="Montserrat SemiBold"/>
              </w:rPr>
              <w:t>ausschuss</w:t>
            </w:r>
          </w:p>
        </w:tc>
        <w:tc>
          <w:tcPr>
            <w:tcW w:w="4962" w:type="dxa"/>
          </w:tcPr>
          <w:p w14:paraId="24C5DEFC" w14:textId="77777777" w:rsidR="003F1C51" w:rsidRDefault="003C0B67" w:rsidP="00253DF6">
            <w:pPr>
              <w:pStyle w:val="Aufzhlung"/>
            </w:pPr>
            <w:r w:rsidRPr="003C0B67">
              <w:t xml:space="preserve">Eigener Ausschuss zwecks Ermittlung von Bewerbern und Vorschlägen zur Neubesetzung von frei werdenden Stellen in der Geschäftsleitung und im </w:t>
            </w:r>
            <w:r>
              <w:t>Aufsichtsrat</w:t>
            </w:r>
          </w:p>
          <w:p w14:paraId="1541E7D2" w14:textId="2BC96121" w:rsidR="00F55AA7" w:rsidRPr="003C0B67" w:rsidRDefault="0025073A" w:rsidP="00253DF6">
            <w:pPr>
              <w:pStyle w:val="Aufzhlung"/>
            </w:pPr>
            <w:r>
              <w:t xml:space="preserve">sowie </w:t>
            </w:r>
            <w:r w:rsidRPr="0025073A">
              <w:t>Zielquote</w:t>
            </w:r>
            <w:r>
              <w:t>n</w:t>
            </w:r>
            <w:r w:rsidRPr="0025073A">
              <w:t xml:space="preserve"> für das unterrepräsentierte Geschlecht</w:t>
            </w:r>
            <w:r>
              <w:t xml:space="preserve"> in Geschäftsleitung und Aufsichtsrat</w:t>
            </w:r>
          </w:p>
        </w:tc>
        <w:tc>
          <w:tcPr>
            <w:tcW w:w="1950" w:type="dxa"/>
          </w:tcPr>
          <w:p w14:paraId="1C672E5F" w14:textId="77777777" w:rsidR="003F1C51" w:rsidRPr="003C0B67" w:rsidRDefault="003C0B67" w:rsidP="003F1C51">
            <w:pPr>
              <w:tabs>
                <w:tab w:val="left" w:pos="1820"/>
              </w:tabs>
            </w:pPr>
            <w:r w:rsidRPr="003C0B67">
              <w:t>§ 29 BWG</w:t>
            </w:r>
          </w:p>
        </w:tc>
      </w:tr>
      <w:tr w:rsidR="003C0B67" w14:paraId="6D20D869" w14:textId="77777777" w:rsidTr="00B53E44">
        <w:tc>
          <w:tcPr>
            <w:tcW w:w="2376" w:type="dxa"/>
            <w:shd w:val="clear" w:color="auto" w:fill="auto"/>
          </w:tcPr>
          <w:p w14:paraId="706C7D4C" w14:textId="522B93DA" w:rsidR="00893D31" w:rsidRPr="006573A7" w:rsidRDefault="00D83CAF" w:rsidP="00253DF6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Bankgeheimnis, Geldwäscherei, Terrorismusbekämpfung</w:t>
            </w:r>
            <w:r w:rsidR="005F71D5" w:rsidRPr="006573A7">
              <w:rPr>
                <w:rFonts w:ascii="Montserrat SemiBold" w:hAnsi="Montserrat SemiBold"/>
              </w:rPr>
              <w:t>, Einlagensicherung</w:t>
            </w:r>
          </w:p>
        </w:tc>
        <w:tc>
          <w:tcPr>
            <w:tcW w:w="4962" w:type="dxa"/>
          </w:tcPr>
          <w:p w14:paraId="0D0FC1F3" w14:textId="77777777" w:rsidR="003C0B67" w:rsidRPr="003C0B67" w:rsidRDefault="00D83CAF" w:rsidP="00253DF6">
            <w:pPr>
              <w:pStyle w:val="Aufzhlung"/>
            </w:pPr>
            <w:r>
              <w:t>Besondere Verschwiegenheits- und Sorgfaltsvorschriften</w:t>
            </w:r>
          </w:p>
        </w:tc>
        <w:tc>
          <w:tcPr>
            <w:tcW w:w="1950" w:type="dxa"/>
          </w:tcPr>
          <w:p w14:paraId="2AC5B1C8" w14:textId="3E6B49AF" w:rsidR="00A948FC" w:rsidRDefault="00A948FC" w:rsidP="003F1C51">
            <w:pPr>
              <w:tabs>
                <w:tab w:val="left" w:pos="1820"/>
              </w:tabs>
            </w:pPr>
            <w:r>
              <w:t>§</w:t>
            </w:r>
            <w:r w:rsidR="00D83CAF">
              <w:t>§ 38, 39 BWG</w:t>
            </w:r>
          </w:p>
          <w:p w14:paraId="7D42220A" w14:textId="77777777" w:rsidR="003C0B67" w:rsidRPr="003C0B67" w:rsidRDefault="00E84AF2" w:rsidP="003F1C51">
            <w:pPr>
              <w:tabs>
                <w:tab w:val="left" w:pos="1820"/>
              </w:tabs>
            </w:pPr>
            <w:r>
              <w:t xml:space="preserve">§§ </w:t>
            </w:r>
            <w:r w:rsidR="004665D4">
              <w:t xml:space="preserve">37a, </w:t>
            </w:r>
            <w:r w:rsidR="00A948FC">
              <w:t xml:space="preserve">93 ff </w:t>
            </w:r>
            <w:r>
              <w:t>BWG</w:t>
            </w:r>
          </w:p>
        </w:tc>
      </w:tr>
      <w:tr w:rsidR="00D83CAF" w14:paraId="0DE8212E" w14:textId="77777777" w:rsidTr="00B53E44">
        <w:tc>
          <w:tcPr>
            <w:tcW w:w="2376" w:type="dxa"/>
            <w:shd w:val="clear" w:color="auto" w:fill="auto"/>
          </w:tcPr>
          <w:p w14:paraId="201B1AE0" w14:textId="77777777" w:rsidR="00D83CAF" w:rsidRPr="006573A7" w:rsidRDefault="00D83CAF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Risikomanagement</w:t>
            </w:r>
          </w:p>
        </w:tc>
        <w:tc>
          <w:tcPr>
            <w:tcW w:w="4962" w:type="dxa"/>
          </w:tcPr>
          <w:p w14:paraId="76BB98CC" w14:textId="7BA87338" w:rsidR="00D83CAF" w:rsidRPr="00253DF6" w:rsidRDefault="00D83CAF" w:rsidP="00253DF6">
            <w:pPr>
              <w:pStyle w:val="Aufzhlung"/>
            </w:pPr>
            <w:r>
              <w:t>Geschäftsleitung hat entsprechendes Risikomanagement (inhaltliche Vorgaben, Dokumentationspflich</w:t>
            </w:r>
            <w:r w:rsidR="00352679">
              <w:t xml:space="preserve">t, eigene, </w:t>
            </w:r>
            <w:r w:rsidR="00C33286">
              <w:t xml:space="preserve">vom operativen Geschäft </w:t>
            </w:r>
            <w:r w:rsidR="00352679">
              <w:t xml:space="preserve">unabhängige </w:t>
            </w:r>
            <w:r>
              <w:t>Abteilung etc</w:t>
            </w:r>
            <w:r w:rsidR="00253DF6">
              <w:t>.</w:t>
            </w:r>
            <w:r>
              <w:t>) einzurichten</w:t>
            </w:r>
          </w:p>
        </w:tc>
        <w:tc>
          <w:tcPr>
            <w:tcW w:w="1950" w:type="dxa"/>
          </w:tcPr>
          <w:p w14:paraId="085AF62B" w14:textId="77777777" w:rsidR="00B53E44" w:rsidRDefault="00D83CAF" w:rsidP="003F1C51">
            <w:pPr>
              <w:tabs>
                <w:tab w:val="left" w:pos="1820"/>
              </w:tabs>
            </w:pPr>
            <w:r>
              <w:t>§ 39 BWG</w:t>
            </w:r>
          </w:p>
          <w:p w14:paraId="15E1AE4B" w14:textId="0A1BE14B" w:rsidR="00D83CAF" w:rsidRDefault="00253DF6" w:rsidP="003F1C51">
            <w:pPr>
              <w:tabs>
                <w:tab w:val="left" w:pos="1820"/>
              </w:tabs>
            </w:pPr>
            <w:r>
              <w:t>FMA-Mindeststandards</w:t>
            </w:r>
          </w:p>
        </w:tc>
      </w:tr>
      <w:tr w:rsidR="00D83CAF" w14:paraId="16E65333" w14:textId="77777777" w:rsidTr="00B53E44">
        <w:tc>
          <w:tcPr>
            <w:tcW w:w="2376" w:type="dxa"/>
            <w:shd w:val="clear" w:color="auto" w:fill="auto"/>
          </w:tcPr>
          <w:p w14:paraId="1D4DA274" w14:textId="77777777" w:rsidR="00D83CAF" w:rsidRPr="006573A7" w:rsidRDefault="007907E2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Risikoausschuss</w:t>
            </w:r>
          </w:p>
        </w:tc>
        <w:tc>
          <w:tcPr>
            <w:tcW w:w="4962" w:type="dxa"/>
          </w:tcPr>
          <w:p w14:paraId="1C625636" w14:textId="463C1BDE" w:rsidR="007907E2" w:rsidRDefault="007907E2" w:rsidP="00253DF6">
            <w:pPr>
              <w:pStyle w:val="Aufzhlung"/>
            </w:pPr>
            <w:r>
              <w:t xml:space="preserve">Beratung der Geschäftsleitung hinsichtlich Risikobereitschaft und </w:t>
            </w:r>
            <w:r w:rsidR="00253DF6">
              <w:t>-</w:t>
            </w:r>
            <w:r>
              <w:t>strategie; Überwachung der Risikostrategie etc</w:t>
            </w:r>
            <w:r w:rsidR="00253DF6">
              <w:t>.</w:t>
            </w:r>
          </w:p>
        </w:tc>
        <w:tc>
          <w:tcPr>
            <w:tcW w:w="1950" w:type="dxa"/>
          </w:tcPr>
          <w:p w14:paraId="0392196E" w14:textId="77777777" w:rsidR="00D83CAF" w:rsidRDefault="007907E2" w:rsidP="003F1C51">
            <w:pPr>
              <w:tabs>
                <w:tab w:val="left" w:pos="1820"/>
              </w:tabs>
            </w:pPr>
            <w:r>
              <w:t>§ 39d BWG</w:t>
            </w:r>
          </w:p>
        </w:tc>
      </w:tr>
      <w:tr w:rsidR="007907E2" w14:paraId="7358FF80" w14:textId="77777777" w:rsidTr="00B53E44">
        <w:tc>
          <w:tcPr>
            <w:tcW w:w="2376" w:type="dxa"/>
            <w:shd w:val="clear" w:color="auto" w:fill="auto"/>
          </w:tcPr>
          <w:p w14:paraId="1D1294E2" w14:textId="77777777" w:rsidR="007907E2" w:rsidRPr="006573A7" w:rsidRDefault="00D303EB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lastRenderedPageBreak/>
              <w:t>Vergütungspolitik/</w:t>
            </w:r>
            <w:r w:rsidR="00A8423F" w:rsidRPr="006573A7">
              <w:rPr>
                <w:rFonts w:ascii="Montserrat SemiBold" w:hAnsi="Montserrat SemiBold"/>
              </w:rPr>
              <w:t>Ver</w:t>
            </w:r>
            <w:r w:rsidRPr="006573A7">
              <w:rPr>
                <w:rFonts w:ascii="Montserrat SemiBold" w:hAnsi="Montserrat SemiBold"/>
              </w:rPr>
              <w:t xml:space="preserve">- </w:t>
            </w:r>
            <w:r w:rsidR="00A8423F" w:rsidRPr="006573A7">
              <w:rPr>
                <w:rFonts w:ascii="Montserrat SemiBold" w:hAnsi="Montserrat SemiBold"/>
              </w:rPr>
              <w:t>gütungsausschuss</w:t>
            </w:r>
          </w:p>
        </w:tc>
        <w:tc>
          <w:tcPr>
            <w:tcW w:w="4962" w:type="dxa"/>
          </w:tcPr>
          <w:p w14:paraId="6CE67545" w14:textId="37FEDCBB" w:rsidR="007907E2" w:rsidRDefault="00A8423F" w:rsidP="00253DF6">
            <w:pPr>
              <w:pStyle w:val="Aufzhlung"/>
            </w:pPr>
            <w:r>
              <w:t>Vorbereitung von Beschlüssen betreffend Vergütung, Überwachung der Vergütungspolitik etc</w:t>
            </w:r>
            <w:r w:rsidR="00253DF6">
              <w:t>.</w:t>
            </w:r>
          </w:p>
        </w:tc>
        <w:tc>
          <w:tcPr>
            <w:tcW w:w="1950" w:type="dxa"/>
          </w:tcPr>
          <w:p w14:paraId="602DC9BB" w14:textId="6A9E9F09" w:rsidR="007907E2" w:rsidRDefault="00A8423F" w:rsidP="003F1C51">
            <w:pPr>
              <w:tabs>
                <w:tab w:val="left" w:pos="1820"/>
              </w:tabs>
            </w:pPr>
            <w:r>
              <w:t xml:space="preserve">§ 39b </w:t>
            </w:r>
            <w:r w:rsidR="00D303EB">
              <w:t xml:space="preserve">(+ Anlage) </w:t>
            </w:r>
            <w:r>
              <w:t>und § 39c BWG</w:t>
            </w:r>
          </w:p>
          <w:p w14:paraId="559FED21" w14:textId="4766C9F9" w:rsidR="00A8423F" w:rsidRDefault="00372F61" w:rsidP="00253DF6">
            <w:pPr>
              <w:tabs>
                <w:tab w:val="left" w:pos="1820"/>
              </w:tabs>
            </w:pPr>
            <w:r>
              <w:t>FMA R</w:t>
            </w:r>
            <w:r w:rsidR="000A3766">
              <w:t>S</w:t>
            </w:r>
          </w:p>
        </w:tc>
      </w:tr>
      <w:tr w:rsidR="00A8423F" w14:paraId="7F99285D" w14:textId="77777777" w:rsidTr="00B53E44">
        <w:tc>
          <w:tcPr>
            <w:tcW w:w="2376" w:type="dxa"/>
            <w:shd w:val="clear" w:color="auto" w:fill="auto"/>
          </w:tcPr>
          <w:p w14:paraId="384EBCA6" w14:textId="77777777" w:rsidR="00A8423F" w:rsidRPr="006573A7" w:rsidRDefault="00A8423F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Interne Revision - Quartalsberichte</w:t>
            </w:r>
          </w:p>
        </w:tc>
        <w:tc>
          <w:tcPr>
            <w:tcW w:w="4962" w:type="dxa"/>
          </w:tcPr>
          <w:p w14:paraId="3FA7FC8E" w14:textId="77777777" w:rsidR="00A8423F" w:rsidRDefault="00A8423F" w:rsidP="00253DF6">
            <w:pPr>
              <w:pStyle w:val="Aufzhlung"/>
            </w:pPr>
            <w:r>
              <w:t>Quartalsweise Berichtspflicht der internen Revision an Aufsichtsratsvorsitzende</w:t>
            </w:r>
            <w:r w:rsidR="0067494C">
              <w:t>/</w:t>
            </w:r>
            <w:r>
              <w:t>n und Prüfungsausschuss</w:t>
            </w:r>
          </w:p>
        </w:tc>
        <w:tc>
          <w:tcPr>
            <w:tcW w:w="1950" w:type="dxa"/>
          </w:tcPr>
          <w:p w14:paraId="5C40AD69" w14:textId="38496B9D" w:rsidR="00B53E44" w:rsidRDefault="00A8423F" w:rsidP="000E1E12">
            <w:pPr>
              <w:tabs>
                <w:tab w:val="left" w:pos="1820"/>
              </w:tabs>
            </w:pPr>
            <w:r>
              <w:t xml:space="preserve">§ 42 BWG </w:t>
            </w:r>
          </w:p>
          <w:p w14:paraId="08B0BEEC" w14:textId="380CC079" w:rsidR="00A8423F" w:rsidRDefault="00A8423F" w:rsidP="000E1E12">
            <w:pPr>
              <w:tabs>
                <w:tab w:val="left" w:pos="1820"/>
              </w:tabs>
            </w:pPr>
            <w:r>
              <w:t>FMA-Mindeststandards für die interne Revision</w:t>
            </w:r>
          </w:p>
        </w:tc>
      </w:tr>
      <w:tr w:rsidR="00A8423F" w14:paraId="2E9C43C7" w14:textId="77777777" w:rsidTr="00B53E44">
        <w:tc>
          <w:tcPr>
            <w:tcW w:w="2376" w:type="dxa"/>
            <w:shd w:val="clear" w:color="auto" w:fill="auto"/>
          </w:tcPr>
          <w:p w14:paraId="31AE86AD" w14:textId="77777777" w:rsidR="00A8423F" w:rsidRPr="006573A7" w:rsidRDefault="00A8423F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 xml:space="preserve">Rechnungslegung </w:t>
            </w:r>
          </w:p>
        </w:tc>
        <w:tc>
          <w:tcPr>
            <w:tcW w:w="4962" w:type="dxa"/>
          </w:tcPr>
          <w:p w14:paraId="0B157DF6" w14:textId="4AA2B0F5" w:rsidR="009B1629" w:rsidRDefault="00F21A45" w:rsidP="000E1E12">
            <w:pPr>
              <w:pStyle w:val="Aufzhlung"/>
            </w:pPr>
            <w:r>
              <w:t>Einzelne</w:t>
            </w:r>
            <w:r w:rsidR="009B1629">
              <w:t xml:space="preserve"> Bestimmungen des UGB </w:t>
            </w:r>
            <w:r>
              <w:t xml:space="preserve">sind </w:t>
            </w:r>
            <w:r w:rsidR="009B1629">
              <w:t xml:space="preserve">nicht anwendbar, </w:t>
            </w:r>
            <w:r>
              <w:t>Verpflichtung</w:t>
            </w:r>
            <w:r w:rsidR="009B1629">
              <w:t xml:space="preserve"> zur Verwendung von Formblättern, </w:t>
            </w:r>
            <w:r>
              <w:t>Übermittlung</w:t>
            </w:r>
            <w:r w:rsidR="005E3330">
              <w:t xml:space="preserve"> an FMA und Oe</w:t>
            </w:r>
            <w:r w:rsidR="009B1629">
              <w:t>NB</w:t>
            </w:r>
          </w:p>
        </w:tc>
        <w:tc>
          <w:tcPr>
            <w:tcW w:w="1950" w:type="dxa"/>
          </w:tcPr>
          <w:p w14:paraId="528E0D2C" w14:textId="16101FA8" w:rsidR="00A8423F" w:rsidRDefault="009B1629" w:rsidP="003F1C51">
            <w:pPr>
              <w:tabs>
                <w:tab w:val="left" w:pos="1820"/>
              </w:tabs>
            </w:pPr>
            <w:r>
              <w:t xml:space="preserve">§§ 43 </w:t>
            </w:r>
            <w:r w:rsidR="00B53E44">
              <w:t>-</w:t>
            </w:r>
            <w:r>
              <w:t xml:space="preserve"> 65</w:t>
            </w:r>
            <w:r w:rsidR="00372F61">
              <w:t xml:space="preserve"> BWG</w:t>
            </w:r>
          </w:p>
        </w:tc>
      </w:tr>
      <w:tr w:rsidR="009B1629" w14:paraId="197B9A4A" w14:textId="77777777" w:rsidTr="00B53E44">
        <w:tc>
          <w:tcPr>
            <w:tcW w:w="2376" w:type="dxa"/>
            <w:shd w:val="clear" w:color="auto" w:fill="auto"/>
          </w:tcPr>
          <w:p w14:paraId="3BE0E742" w14:textId="77777777" w:rsidR="009B1629" w:rsidRPr="006573A7" w:rsidRDefault="009B1629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Bankprüfer</w:t>
            </w:r>
          </w:p>
        </w:tc>
        <w:tc>
          <w:tcPr>
            <w:tcW w:w="4962" w:type="dxa"/>
          </w:tcPr>
          <w:p w14:paraId="3ADC3D3E" w14:textId="05F7B611" w:rsidR="00372F61" w:rsidRDefault="009B1629" w:rsidP="000E1E12">
            <w:pPr>
              <w:pStyle w:val="Aufzhlung"/>
            </w:pPr>
            <w:r>
              <w:t>Besonderheiten in Bezug auf Rotation (interne 7</w:t>
            </w:r>
            <w:r w:rsidR="000E1E12">
              <w:t xml:space="preserve"> </w:t>
            </w:r>
            <w:r>
              <w:t>J</w:t>
            </w:r>
            <w:r w:rsidR="000E1E12">
              <w:t xml:space="preserve">ahre </w:t>
            </w:r>
            <w:r>
              <w:t>/externe 10</w:t>
            </w:r>
            <w:r w:rsidR="000E1E12">
              <w:t xml:space="preserve"> </w:t>
            </w:r>
            <w:r>
              <w:t>J</w:t>
            </w:r>
            <w:r w:rsidR="000E1E12">
              <w:t>ahre</w:t>
            </w:r>
            <w:r>
              <w:t>)</w:t>
            </w:r>
            <w:r w:rsidR="005F71D5">
              <w:t xml:space="preserve">; Berichtspflicht; Cooling-Off Periode von </w:t>
            </w:r>
            <w:r w:rsidR="00372F61">
              <w:t>3</w:t>
            </w:r>
            <w:r w:rsidR="005F71D5">
              <w:t xml:space="preserve"> Jahren</w:t>
            </w:r>
            <w:r w:rsidR="00372F61">
              <w:t>, wenn vorher gesetzl. Vertreter</w:t>
            </w:r>
            <w:r w:rsidR="000E1E12">
              <w:t>:i</w:t>
            </w:r>
            <w:r w:rsidR="0067494C">
              <w:t>n</w:t>
            </w:r>
            <w:r w:rsidR="00372F61">
              <w:t>, Auf</w:t>
            </w:r>
            <w:r w:rsidR="000E1E12">
              <w:t>sichtsratsm</w:t>
            </w:r>
            <w:r w:rsidR="00372F61">
              <w:t xml:space="preserve">itglied oder AN des geprüften Unternehmens </w:t>
            </w:r>
          </w:p>
        </w:tc>
        <w:tc>
          <w:tcPr>
            <w:tcW w:w="1950" w:type="dxa"/>
          </w:tcPr>
          <w:p w14:paraId="18270184" w14:textId="77777777" w:rsidR="00B53E44" w:rsidRDefault="000A3766" w:rsidP="000E1E12">
            <w:pPr>
              <w:tabs>
                <w:tab w:val="left" w:pos="1820"/>
              </w:tabs>
            </w:pPr>
            <w:r>
              <w:t>§§ 60 ff BWG</w:t>
            </w:r>
          </w:p>
          <w:p w14:paraId="0ED19631" w14:textId="2B71D7FB" w:rsidR="009B1629" w:rsidRDefault="009B1629" w:rsidP="000E1E12">
            <w:pPr>
              <w:tabs>
                <w:tab w:val="left" w:pos="1820"/>
              </w:tabs>
            </w:pPr>
            <w:r>
              <w:t>FMA</w:t>
            </w:r>
            <w:r w:rsidR="000A3766">
              <w:t>-RS</w:t>
            </w:r>
            <w:r>
              <w:t xml:space="preserve"> </w:t>
            </w:r>
          </w:p>
        </w:tc>
      </w:tr>
      <w:tr w:rsidR="009B1629" w14:paraId="35798380" w14:textId="77777777" w:rsidTr="00B53E44">
        <w:tc>
          <w:tcPr>
            <w:tcW w:w="2376" w:type="dxa"/>
            <w:shd w:val="clear" w:color="auto" w:fill="auto"/>
          </w:tcPr>
          <w:p w14:paraId="35DABD1C" w14:textId="77777777" w:rsidR="009B1629" w:rsidRPr="006573A7" w:rsidRDefault="005F71D5" w:rsidP="003F1C51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Prüfungsausschuss</w:t>
            </w:r>
          </w:p>
        </w:tc>
        <w:tc>
          <w:tcPr>
            <w:tcW w:w="4962" w:type="dxa"/>
          </w:tcPr>
          <w:p w14:paraId="3F068004" w14:textId="1334A2A6" w:rsidR="005F71D5" w:rsidRDefault="005F71D5" w:rsidP="000E1E12">
            <w:pPr>
              <w:pStyle w:val="Aufzhlung"/>
            </w:pPr>
            <w:r>
              <w:t>Zwingend zu bestellen, wenn Bilanzsumme &gt; 1 Mrd</w:t>
            </w:r>
            <w:r w:rsidR="000E1E12">
              <w:t>.</w:t>
            </w:r>
            <w:r>
              <w:t xml:space="preserve"> € oder Ausgabe von Wertpapieren zum Handel auf einem geregelten Markt</w:t>
            </w:r>
          </w:p>
        </w:tc>
        <w:tc>
          <w:tcPr>
            <w:tcW w:w="1950" w:type="dxa"/>
          </w:tcPr>
          <w:p w14:paraId="7769EB6C" w14:textId="77777777" w:rsidR="009B1629" w:rsidRDefault="005F71D5" w:rsidP="003F1C51">
            <w:pPr>
              <w:tabs>
                <w:tab w:val="left" w:pos="1820"/>
              </w:tabs>
            </w:pPr>
            <w:r>
              <w:t>§ 63a Abs 4 BWG</w:t>
            </w:r>
          </w:p>
        </w:tc>
      </w:tr>
      <w:tr w:rsidR="005F71D5" w14:paraId="1FEDC1B9" w14:textId="77777777" w:rsidTr="00B53E44">
        <w:tc>
          <w:tcPr>
            <w:tcW w:w="2376" w:type="dxa"/>
            <w:shd w:val="clear" w:color="auto" w:fill="auto"/>
          </w:tcPr>
          <w:p w14:paraId="11B68352" w14:textId="77777777" w:rsidR="005F71D5" w:rsidRPr="006573A7" w:rsidRDefault="00E84AF2" w:rsidP="00E84AF2">
            <w:pPr>
              <w:tabs>
                <w:tab w:val="left" w:pos="1820"/>
              </w:tabs>
              <w:rPr>
                <w:rFonts w:ascii="Montserrat SemiBold" w:hAnsi="Montserrat SemiBold"/>
              </w:rPr>
            </w:pPr>
            <w:r w:rsidRPr="006573A7">
              <w:rPr>
                <w:rFonts w:ascii="Montserrat SemiBold" w:hAnsi="Montserrat SemiBold"/>
              </w:rPr>
              <w:t>Bankenaufsicht</w:t>
            </w:r>
          </w:p>
        </w:tc>
        <w:tc>
          <w:tcPr>
            <w:tcW w:w="4962" w:type="dxa"/>
          </w:tcPr>
          <w:p w14:paraId="0BE53014" w14:textId="7CAE176D" w:rsidR="004665D4" w:rsidRDefault="00E84AF2" w:rsidP="000E1E12">
            <w:pPr>
              <w:pStyle w:val="Aufzhlung"/>
            </w:pPr>
            <w:r>
              <w:t>Komplexes Aufsichtsverfahr</w:t>
            </w:r>
            <w:r w:rsidR="00775E8E">
              <w:t>en durch FMA, Staatskommissär</w:t>
            </w:r>
            <w:r w:rsidR="000E1E12">
              <w:t>:i</w:t>
            </w:r>
            <w:r w:rsidR="00893D31">
              <w:t>n, Oe</w:t>
            </w:r>
            <w:r>
              <w:t xml:space="preserve">NB, </w:t>
            </w:r>
            <w:r w:rsidR="004665D4">
              <w:t xml:space="preserve">EZB, </w:t>
            </w:r>
            <w:r>
              <w:t>EBA (European Banking Authority) u</w:t>
            </w:r>
            <w:r w:rsidR="000E1E12">
              <w:t>.</w:t>
            </w:r>
            <w:r>
              <w:t>a</w:t>
            </w:r>
            <w:r w:rsidR="000E1E12">
              <w:t>.</w:t>
            </w:r>
            <w:r>
              <w:t xml:space="preserve"> </w:t>
            </w:r>
          </w:p>
        </w:tc>
        <w:tc>
          <w:tcPr>
            <w:tcW w:w="1950" w:type="dxa"/>
          </w:tcPr>
          <w:p w14:paraId="096C35E7" w14:textId="77777777" w:rsidR="00B53E44" w:rsidRDefault="00E84AF2" w:rsidP="003F1C51">
            <w:pPr>
              <w:tabs>
                <w:tab w:val="left" w:pos="1820"/>
              </w:tabs>
            </w:pPr>
            <w:r>
              <w:t>CRR</w:t>
            </w:r>
          </w:p>
          <w:p w14:paraId="20740A10" w14:textId="77777777" w:rsidR="00B53E44" w:rsidRDefault="00E84AF2" w:rsidP="003F1C51">
            <w:pPr>
              <w:tabs>
                <w:tab w:val="left" w:pos="1820"/>
              </w:tabs>
            </w:pPr>
            <w:r>
              <w:t>CRD-IV</w:t>
            </w:r>
          </w:p>
          <w:p w14:paraId="3FC2FD59" w14:textId="77777777" w:rsidR="00B53E44" w:rsidRDefault="00E84AF2" w:rsidP="003F1C51">
            <w:pPr>
              <w:tabs>
                <w:tab w:val="left" w:pos="1820"/>
              </w:tabs>
            </w:pPr>
            <w:r>
              <w:t>FMABG</w:t>
            </w:r>
          </w:p>
          <w:p w14:paraId="72722476" w14:textId="367E0431" w:rsidR="005F71D5" w:rsidRDefault="00E84AF2" w:rsidP="003F1C51">
            <w:pPr>
              <w:tabs>
                <w:tab w:val="left" w:pos="1820"/>
              </w:tabs>
            </w:pPr>
            <w:r>
              <w:t xml:space="preserve">EBA-VO, </w:t>
            </w:r>
            <w:r w:rsidR="004665D4">
              <w:t xml:space="preserve">§§ 69 ff BWG, </w:t>
            </w:r>
            <w:r>
              <w:t>etc</w:t>
            </w:r>
            <w:r w:rsidR="000E1E12">
              <w:t>.</w:t>
            </w:r>
          </w:p>
        </w:tc>
      </w:tr>
    </w:tbl>
    <w:p w14:paraId="05FF5259" w14:textId="38F3DDF6" w:rsidR="006573A7" w:rsidRPr="000E1E12" w:rsidRDefault="006573A7" w:rsidP="006573A7">
      <w:pPr>
        <w:spacing w:after="0"/>
        <w:rPr>
          <w:sz w:val="14"/>
          <w:szCs w:val="14"/>
        </w:rPr>
      </w:pPr>
      <w:r w:rsidRPr="000E1E12">
        <w:rPr>
          <w:sz w:val="14"/>
          <w:szCs w:val="14"/>
        </w:rPr>
        <w:t xml:space="preserve">Stand </w:t>
      </w:r>
      <w:r w:rsidR="00650584">
        <w:rPr>
          <w:sz w:val="14"/>
          <w:szCs w:val="14"/>
        </w:rPr>
        <w:t>April 2024</w:t>
      </w:r>
    </w:p>
    <w:p w14:paraId="7F2D9D9C" w14:textId="77777777" w:rsidR="003F1C51" w:rsidRPr="003F1C51" w:rsidRDefault="003F1C51" w:rsidP="003F1C51">
      <w:pPr>
        <w:tabs>
          <w:tab w:val="left" w:pos="1820"/>
        </w:tabs>
        <w:rPr>
          <w:sz w:val="28"/>
          <w:szCs w:val="28"/>
        </w:rPr>
      </w:pPr>
    </w:p>
    <w:sectPr w:rsidR="003F1C51" w:rsidRPr="003F1C5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183D" w14:textId="77777777" w:rsidR="00D24FB3" w:rsidRDefault="00D24FB3" w:rsidP="00B53E44">
      <w:pPr>
        <w:spacing w:after="0" w:line="240" w:lineRule="auto"/>
      </w:pPr>
      <w:r>
        <w:separator/>
      </w:r>
    </w:p>
  </w:endnote>
  <w:endnote w:type="continuationSeparator" w:id="0">
    <w:p w14:paraId="426A395B" w14:textId="77777777" w:rsidR="00D24FB3" w:rsidRDefault="00D24FB3" w:rsidP="00B5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80AC" w14:textId="73344DDD" w:rsidR="00B53E44" w:rsidRPr="00DD2156" w:rsidRDefault="00DD2156" w:rsidP="00DD2156">
    <w:pPr>
      <w:pStyle w:val="Fuzeile"/>
      <w:jc w:val="center"/>
      <w:rPr>
        <w:sz w:val="14"/>
        <w:szCs w:val="14"/>
      </w:rPr>
    </w:pPr>
    <w:r w:rsidRPr="00DD2156">
      <w:rPr>
        <w:sz w:val="14"/>
        <w:szCs w:val="14"/>
        <w:lang w:val="de-DE"/>
      </w:rPr>
      <w:t xml:space="preserve">Seite </w:t>
    </w:r>
    <w:r w:rsidRPr="00DD2156">
      <w:rPr>
        <w:sz w:val="14"/>
        <w:szCs w:val="14"/>
      </w:rPr>
      <w:fldChar w:fldCharType="begin"/>
    </w:r>
    <w:r w:rsidRPr="00DD2156">
      <w:rPr>
        <w:sz w:val="14"/>
        <w:szCs w:val="14"/>
      </w:rPr>
      <w:instrText>PAGE  \* Arabic  \* MERGEFORMAT</w:instrText>
    </w:r>
    <w:r w:rsidRPr="00DD2156">
      <w:rPr>
        <w:sz w:val="14"/>
        <w:szCs w:val="14"/>
      </w:rPr>
      <w:fldChar w:fldCharType="separate"/>
    </w:r>
    <w:r w:rsidRPr="00DD2156">
      <w:rPr>
        <w:sz w:val="14"/>
        <w:szCs w:val="14"/>
        <w:lang w:val="de-DE"/>
      </w:rPr>
      <w:t>1</w:t>
    </w:r>
    <w:r w:rsidRPr="00DD2156">
      <w:rPr>
        <w:sz w:val="14"/>
        <w:szCs w:val="14"/>
      </w:rPr>
      <w:fldChar w:fldCharType="end"/>
    </w:r>
    <w:r w:rsidRPr="00DD2156">
      <w:rPr>
        <w:sz w:val="14"/>
        <w:szCs w:val="14"/>
      </w:rPr>
      <w:t>/</w:t>
    </w:r>
    <w:r w:rsidRPr="00DD2156">
      <w:rPr>
        <w:sz w:val="14"/>
        <w:szCs w:val="14"/>
      </w:rPr>
      <w:fldChar w:fldCharType="begin"/>
    </w:r>
    <w:r w:rsidRPr="00DD2156">
      <w:rPr>
        <w:sz w:val="14"/>
        <w:szCs w:val="14"/>
      </w:rPr>
      <w:instrText>NUMPAGES  \* Arabic  \* MERGEFORMAT</w:instrText>
    </w:r>
    <w:r w:rsidRPr="00DD2156">
      <w:rPr>
        <w:sz w:val="14"/>
        <w:szCs w:val="14"/>
      </w:rPr>
      <w:fldChar w:fldCharType="separate"/>
    </w:r>
    <w:r w:rsidRPr="00DD2156">
      <w:rPr>
        <w:sz w:val="14"/>
        <w:szCs w:val="14"/>
        <w:lang w:val="de-DE"/>
      </w:rPr>
      <w:t>2</w:t>
    </w:r>
    <w:r w:rsidRPr="00DD215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A8DA" w14:textId="77777777" w:rsidR="00D24FB3" w:rsidRDefault="00D24FB3" w:rsidP="00B53E44">
      <w:pPr>
        <w:spacing w:after="0" w:line="240" w:lineRule="auto"/>
      </w:pPr>
      <w:r>
        <w:separator/>
      </w:r>
    </w:p>
  </w:footnote>
  <w:footnote w:type="continuationSeparator" w:id="0">
    <w:p w14:paraId="4D255787" w14:textId="77777777" w:rsidR="00D24FB3" w:rsidRDefault="00D24FB3" w:rsidP="00B53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74E0"/>
    <w:multiLevelType w:val="hybridMultilevel"/>
    <w:tmpl w:val="10C231D2"/>
    <w:lvl w:ilvl="0" w:tplc="3FAE64D2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85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51"/>
    <w:rsid w:val="000A3766"/>
    <w:rsid w:val="000E1E12"/>
    <w:rsid w:val="0025073A"/>
    <w:rsid w:val="00253DF6"/>
    <w:rsid w:val="00281404"/>
    <w:rsid w:val="002C10E4"/>
    <w:rsid w:val="00352679"/>
    <w:rsid w:val="00372F61"/>
    <w:rsid w:val="003C0B67"/>
    <w:rsid w:val="003F1C51"/>
    <w:rsid w:val="004665D4"/>
    <w:rsid w:val="005771AD"/>
    <w:rsid w:val="005E3330"/>
    <w:rsid w:val="005F71D5"/>
    <w:rsid w:val="00650584"/>
    <w:rsid w:val="006511B4"/>
    <w:rsid w:val="006573A7"/>
    <w:rsid w:val="0067494C"/>
    <w:rsid w:val="00706027"/>
    <w:rsid w:val="00775E8E"/>
    <w:rsid w:val="007907E2"/>
    <w:rsid w:val="00833975"/>
    <w:rsid w:val="008822F7"/>
    <w:rsid w:val="00893D31"/>
    <w:rsid w:val="00912162"/>
    <w:rsid w:val="009342F2"/>
    <w:rsid w:val="00954E22"/>
    <w:rsid w:val="00955B38"/>
    <w:rsid w:val="009B1629"/>
    <w:rsid w:val="00A8423F"/>
    <w:rsid w:val="00A948FC"/>
    <w:rsid w:val="00AA7C38"/>
    <w:rsid w:val="00B2383A"/>
    <w:rsid w:val="00B53E44"/>
    <w:rsid w:val="00BA336E"/>
    <w:rsid w:val="00C33286"/>
    <w:rsid w:val="00CA3B6B"/>
    <w:rsid w:val="00D24FB3"/>
    <w:rsid w:val="00D303EB"/>
    <w:rsid w:val="00D83CAF"/>
    <w:rsid w:val="00DD2156"/>
    <w:rsid w:val="00E84AF2"/>
    <w:rsid w:val="00EC7495"/>
    <w:rsid w:val="00F074CF"/>
    <w:rsid w:val="00F21A45"/>
    <w:rsid w:val="00F55AA7"/>
    <w:rsid w:val="00FB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E132"/>
  <w15:docId w15:val="{705AED85-F127-4578-86A8-54DA7B4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3A7"/>
    <w:rPr>
      <w:rFonts w:ascii="Montserrat Light" w:hAnsi="Montserrat Light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B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B6B"/>
    <w:rPr>
      <w:rFonts w:ascii="Segoe UI" w:hAnsi="Segoe UI" w:cs="Segoe UI"/>
      <w:sz w:val="18"/>
      <w:szCs w:val="18"/>
    </w:rPr>
  </w:style>
  <w:style w:type="paragraph" w:customStyle="1" w:styleId="Aufzhlung">
    <w:name w:val="Aufzählung"/>
    <w:basedOn w:val="Standard"/>
    <w:qFormat/>
    <w:rsid w:val="00BA336E"/>
    <w:pPr>
      <w:numPr>
        <w:numId w:val="1"/>
      </w:numPr>
      <w:spacing w:after="0" w:line="240" w:lineRule="auto"/>
      <w:ind w:left="357" w:hanging="357"/>
    </w:pPr>
    <w:rPr>
      <w:rFonts w:cstheme="minorHAnsi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5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E44"/>
    <w:rPr>
      <w:rFonts w:ascii="Montserrat Light" w:hAnsi="Montserrat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5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E44"/>
    <w:rPr>
      <w:rFonts w:ascii="Montserrat Light" w:hAnsi="Montserrat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akwien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GAGAWCZUK Walter</dc:creator>
  <cp:lastModifiedBy>HOFMANN Ines</cp:lastModifiedBy>
  <cp:revision>2</cp:revision>
  <cp:lastPrinted>2019-01-07T11:42:00Z</cp:lastPrinted>
  <dcterms:created xsi:type="dcterms:W3CDTF">2024-04-23T06:12:00Z</dcterms:created>
  <dcterms:modified xsi:type="dcterms:W3CDTF">2024-04-23T06:12:00Z</dcterms:modified>
</cp:coreProperties>
</file>